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Warszawa,  03 lipca 2020 r.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DKO-WNP.4092.50.2020.DB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  <w:t xml:space="preserve">Na podstawie art. 60 ust. 3 pkt 1 ustawy z dnia 14 grudnia 2016 r. – Prawo o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  <w:t xml:space="preserve">światowe (Dz. U. z 2020 r. poz. 910) ustalam następujące kierunki realizacji polityki oświatowej państwa w roku szkolnym 2020/2021: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spacing w:before="0" w:after="160" w:line="259"/>
        <w:ind w:right="0" w:left="426" w:hanging="426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Wdra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żanie nowej podstawy programowej w szkołach ponadpodstawowych ze szczególnym uwzględnieniem edukacji przyrodniczej i matematycznej. Rozwijanie samodzielności, innowacyjności i kreatywności uczniów. </w:t>
      </w:r>
    </w:p>
    <w:p>
      <w:pPr>
        <w:numPr>
          <w:ilvl w:val="0"/>
          <w:numId w:val="7"/>
        </w:numPr>
        <w:spacing w:before="0" w:after="160" w:line="259"/>
        <w:ind w:right="0" w:left="426" w:hanging="426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Wdra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żanie zmian w kształceniu zawodowym, ze szczególnym uwzględnieniem kształcenia osób dorosłych.</w:t>
      </w:r>
    </w:p>
    <w:p>
      <w:pPr>
        <w:numPr>
          <w:ilvl w:val="0"/>
          <w:numId w:val="7"/>
        </w:numPr>
        <w:spacing w:before="0" w:after="160" w:line="259"/>
        <w:ind w:right="0" w:left="426" w:hanging="426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Zapewnienie wysokiej jako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ści kształcenia oraz wsparcia psychologiczno – pedagogicznego wszystkim uczniom </w:t>
        <w:br/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z uwzgl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ędnieniem zróżnicowania ich potrzeb rozwojowych i  edukacyjnych.</w:t>
      </w:r>
    </w:p>
    <w:p>
      <w:pPr>
        <w:numPr>
          <w:ilvl w:val="0"/>
          <w:numId w:val="7"/>
        </w:numPr>
        <w:spacing w:before="0" w:after="160" w:line="259"/>
        <w:ind w:right="0" w:left="426" w:hanging="426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Wykorzystanie w procesach edukacyjnych narz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ędzi i zasobów cyfrowych oraz metod kształcenia na odległość. Bezpieczne i efektywne korzystanie z technologii cyfrowych.</w:t>
      </w:r>
    </w:p>
    <w:p>
      <w:pPr>
        <w:numPr>
          <w:ilvl w:val="0"/>
          <w:numId w:val="7"/>
        </w:numPr>
        <w:spacing w:before="0" w:after="160" w:line="259"/>
        <w:ind w:right="0" w:left="426" w:hanging="426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Dzia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łania wychowawcze szkoły. Wychowanie do wartości, kształtowanie postaw i respektowanie norm społecznych.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Zadania z zakresu nadzoru pedagogicznego dla kuratorów o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światy: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"/>
        </w:numPr>
        <w:spacing w:before="0" w:after="0" w:line="240"/>
        <w:ind w:right="0" w:left="284" w:hanging="284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w zakresie kontroli:</w:t>
      </w:r>
    </w:p>
    <w:p>
      <w:pPr>
        <w:spacing w:before="0" w:after="0" w:line="240"/>
        <w:ind w:right="0" w:left="284" w:firstLine="0"/>
        <w:jc w:val="left"/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13"/>
        </w:numPr>
        <w:spacing w:before="0" w:after="0" w:line="240"/>
        <w:ind w:right="0" w:left="284" w:hanging="284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  <w:t xml:space="preserve">w szko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  <w:t xml:space="preserve">łach podstawowych i ponadpodstawowych: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both"/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  <w:t xml:space="preserve">„Zgodno</w:t>
      </w: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  <w:t xml:space="preserve">ść z przepisami prawa funkcjonowania monitoringu wizyjnego w szkołach”;</w:t>
      </w:r>
    </w:p>
    <w:p>
      <w:pPr>
        <w:spacing w:before="0" w:after="0" w:line="240"/>
        <w:ind w:right="0" w:left="72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"/>
        </w:numPr>
        <w:spacing w:before="0" w:after="0" w:line="240"/>
        <w:ind w:right="0" w:left="284" w:hanging="284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  <w:t xml:space="preserve">w szko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  <w:t xml:space="preserve">łach ogólnodostępnych i integracyjnych: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both"/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  <w:t xml:space="preserve">„Zgodno</w:t>
      </w: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  <w:t xml:space="preserve">ść z przepisami prawa organizowania zajęć w grupie do pięciu uczniów lub w formie indywidualnej oraz udzielania </w:t>
        <w:br/>
      </w: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  <w:t xml:space="preserve">uczniom pomocy psychologiczno-pedagogicznej w formie zindywidualizowanej </w:t>
      </w: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  <w:t xml:space="preserve">ścieżki kształcenia”;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9"/>
        </w:numPr>
        <w:spacing w:before="0" w:after="0" w:line="240"/>
        <w:ind w:right="0" w:left="284" w:hanging="284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  <w:t xml:space="preserve">w publicznych poradniach psychologiczno - pedagogicznych: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  <w:t xml:space="preserve">„Zgodno</w:t>
      </w: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  <w:t xml:space="preserve">ść z przepisami prawa wydawania orzeczeń o potrzebie kształcenia specjalnego w zakresie dotyczącym organizacji zajęć w grupie do pięciu uczniów lub w formie indywidualnej oraz opinii w sprawie objęcia ucznia pomocą psychologiczno-pedagogiczną w formie zindywidualizowanej ścieżki kształcenia”;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2"/>
        </w:numPr>
        <w:spacing w:before="0" w:after="0" w:line="240"/>
        <w:ind w:right="0" w:left="284" w:hanging="284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  <w:t xml:space="preserve">w szko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  <w:t xml:space="preserve">łach ponadpodstawowych:</w:t>
      </w:r>
    </w:p>
    <w:p>
      <w:pPr>
        <w:numPr>
          <w:ilvl w:val="0"/>
          <w:numId w:val="22"/>
        </w:numPr>
        <w:spacing w:before="0" w:after="0" w:line="240"/>
        <w:ind w:right="0" w:left="720" w:hanging="360"/>
        <w:jc w:val="both"/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  <w:t xml:space="preserve">„Zgodno</w:t>
      </w: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  <w:t xml:space="preserve">ść z przepisami prawa funkcjonowania oddziałów międzynarodowych”;</w:t>
      </w:r>
    </w:p>
    <w:p>
      <w:pPr>
        <w:spacing w:before="0" w:after="0" w:line="240"/>
        <w:ind w:right="0" w:left="284" w:firstLine="0"/>
        <w:jc w:val="left"/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5"/>
        </w:numPr>
        <w:spacing w:before="0" w:after="0" w:line="240"/>
        <w:ind w:right="0" w:left="284" w:hanging="284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  <w:t xml:space="preserve">w niepublicznych szko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  <w:t xml:space="preserve">łach policealnych prowadzących kształcenie w zawodach z branży opieki zdrowotnej:</w:t>
      </w:r>
    </w:p>
    <w:p>
      <w:pPr>
        <w:numPr>
          <w:ilvl w:val="0"/>
          <w:numId w:val="25"/>
        </w:numPr>
        <w:spacing w:before="0" w:after="0" w:line="240"/>
        <w:ind w:right="0" w:left="720" w:hanging="360"/>
        <w:jc w:val="both"/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  <w:t xml:space="preserve">„Zgodno</w:t>
      </w: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  <w:t xml:space="preserve">ść z przepisami prawa organizacji kształcenia zawodowego w branży opieki zdrowotnej”;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8"/>
        </w:numPr>
        <w:spacing w:before="0" w:after="0" w:line="240"/>
        <w:ind w:right="0" w:left="284" w:hanging="284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  <w:t xml:space="preserve">w szko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  <w:t xml:space="preserve">łach i placówkach prowadzących kształcenie na kwalifikacyjnych kursach zawodowych i kursach umiejętności zawodowych: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both"/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  <w:t xml:space="preserve">„Zgodno</w:t>
      </w: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  <w:t xml:space="preserve">ść z przepisami prawa kształcenia na kwalifikacyjnych kursach zawodowych i kursach umiejętności zawodowych”.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1"/>
        </w:numPr>
        <w:spacing w:before="0" w:after="0" w:line="240"/>
        <w:ind w:right="0" w:left="284" w:hanging="284"/>
        <w:jc w:val="left"/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w zakresie ewaluacji: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  <w:t xml:space="preserve">Ewaluacje problemowe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  <w:t xml:space="preserve"> (60% wszystkich ewaluacji w roku szkolnym):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3"/>
        </w:numPr>
        <w:spacing w:before="0" w:after="0" w:line="240"/>
        <w:ind w:right="0" w:left="360" w:hanging="36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  <w:t xml:space="preserve">w przedszkolach, innych formach wychowania przedszkolnego oraz oddzia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  <w:t xml:space="preserve">łach przedszkolnych w szkołach podstawowych – w zakresie wymagań: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  <w:t xml:space="preserve">„Przedszkole wspó</w:t>
      </w: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  <w:t xml:space="preserve">łpracuje ze środowiskiem lokalnym na rzecz wzajemnego rozwoju”;</w:t>
      </w: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  <w:t xml:space="preserve">„Zarz</w:t>
      </w: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  <w:t xml:space="preserve">ądzanie przedszkolem służy jego rozwojowi”;</w:t>
      </w:r>
    </w:p>
    <w:p>
      <w:pPr>
        <w:spacing w:before="0" w:after="0" w:line="240"/>
        <w:ind w:right="0" w:left="720" w:firstLine="0"/>
        <w:jc w:val="both"/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6"/>
        </w:numPr>
        <w:spacing w:before="0" w:after="0" w:line="240"/>
        <w:ind w:right="0" w:left="360" w:hanging="36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  <w:t xml:space="preserve">w szko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  <w:t xml:space="preserve">łach podstawowych i ponadpodstawowych – w zakresie wymagań:</w:t>
      </w:r>
    </w:p>
    <w:p>
      <w:pPr>
        <w:numPr>
          <w:ilvl w:val="0"/>
          <w:numId w:val="36"/>
        </w:numPr>
        <w:spacing w:before="0" w:after="0" w:line="240"/>
        <w:ind w:right="0" w:left="720" w:hanging="360"/>
        <w:jc w:val="both"/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  <w:t xml:space="preserve">„Procesy edukacyjne s</w:t>
      </w: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  <w:t xml:space="preserve">ą zorganizowane w sposób sprzyjający uczeniu się”;</w:t>
      </w:r>
    </w:p>
    <w:p>
      <w:pPr>
        <w:numPr>
          <w:ilvl w:val="0"/>
          <w:numId w:val="36"/>
        </w:numPr>
        <w:spacing w:before="0" w:after="0" w:line="240"/>
        <w:ind w:right="0" w:left="720" w:hanging="360"/>
        <w:jc w:val="both"/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  <w:t xml:space="preserve">„Uczniowie nabywaj</w:t>
      </w: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  <w:t xml:space="preserve">ą wiadomości i umiejętności określone w podstawie programowej”;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9"/>
        </w:numPr>
        <w:spacing w:before="0" w:after="0" w:line="240"/>
        <w:ind w:right="0" w:left="360" w:hanging="36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  <w:t xml:space="preserve">w poradniach psychologiczno-pedagogicznych – w zakresie wymaga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  <w:t xml:space="preserve">ń:</w:t>
      </w:r>
    </w:p>
    <w:p>
      <w:pPr>
        <w:numPr>
          <w:ilvl w:val="0"/>
          <w:numId w:val="39"/>
        </w:numPr>
        <w:spacing w:before="0" w:after="0" w:line="240"/>
        <w:ind w:right="0" w:left="720" w:hanging="360"/>
        <w:jc w:val="both"/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  <w:t xml:space="preserve">„Procesy edukacyjne s</w:t>
      </w: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  <w:t xml:space="preserve">ą zorganizowane w sposób sprzyjający rozwojowi osób, instytucji i organizacji korzystających z oferty placówki”;</w:t>
      </w:r>
    </w:p>
    <w:p>
      <w:pPr>
        <w:numPr>
          <w:ilvl w:val="0"/>
          <w:numId w:val="39"/>
        </w:numPr>
        <w:spacing w:before="0" w:after="0" w:line="240"/>
        <w:ind w:right="0" w:left="720" w:hanging="360"/>
        <w:jc w:val="both"/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  <w:t xml:space="preserve">„Placówka w planowaniu pracy uwzgl</w:t>
      </w: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  <w:t xml:space="preserve">ędnia wnioski z analizy badań zewnętrznych i wewnętrznych”;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2"/>
        </w:numPr>
        <w:spacing w:before="0" w:after="0" w:line="240"/>
        <w:ind w:right="0" w:left="360" w:hanging="36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w specjalnych o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środkach wychowawczych oraz placówkach zapewniających opiekę i wychowanie uczniom w okresie pobierania nauki poza miejscem stałego zamieszkania – w zakresie wymagań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42"/>
        </w:numPr>
        <w:spacing w:before="0" w:after="0" w:line="240"/>
        <w:ind w:right="0" w:left="720" w:hanging="360"/>
        <w:jc w:val="both"/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  <w:t xml:space="preserve">„Kszta</w:t>
      </w: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  <w:t xml:space="preserve">łtowane są postawy i respektowane normy społeczne”;</w:t>
      </w:r>
    </w:p>
    <w:p>
      <w:pPr>
        <w:numPr>
          <w:ilvl w:val="0"/>
          <w:numId w:val="42"/>
        </w:numPr>
        <w:spacing w:before="0" w:after="0" w:line="240"/>
        <w:ind w:right="0" w:left="720" w:hanging="360"/>
        <w:jc w:val="both"/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  <w:t xml:space="preserve">„Zarz</w:t>
      </w: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  <w:t xml:space="preserve">ądzanie placówką służy jej rozwojowi”;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5"/>
        </w:numPr>
        <w:spacing w:before="0" w:after="0" w:line="240"/>
        <w:ind w:right="0" w:left="360" w:hanging="36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w szko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łach specjalnych przysposabiających do pracy, młodzieżowych ośrodkach wychowawczych, młodzieżowych ośrodkach socjoterapii, specjalnych ośrodkach szkolno-wychowawczych i ośrodkach rewalidacyjno-wychowawczych – w zakresie wymagań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45"/>
        </w:numPr>
        <w:spacing w:before="0" w:after="0" w:line="240"/>
        <w:ind w:right="0" w:left="720" w:hanging="360"/>
        <w:jc w:val="both"/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Kszta</w:t>
      </w: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shd w:fill="auto" w:val="clear"/>
        </w:rPr>
        <w:t xml:space="preserve">łtowane są postawy i respektowane normy społeczne</w:t>
      </w: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  <w:t xml:space="preserve">”;</w:t>
      </w:r>
    </w:p>
    <w:p>
      <w:pPr>
        <w:numPr>
          <w:ilvl w:val="0"/>
          <w:numId w:val="45"/>
        </w:numPr>
        <w:spacing w:before="0" w:after="0" w:line="240"/>
        <w:ind w:right="0" w:left="720" w:hanging="360"/>
        <w:jc w:val="both"/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  <w:t xml:space="preserve">„Zarz</w:t>
      </w: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  <w:t xml:space="preserve">ądzanie placówką służy jej rozwojowi”.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  <w:t xml:space="preserve">Ewaluacje w zakresie wybranym przez kuratora o</w:t>
      </w: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  <w:t xml:space="preserve">światy na podstawie wniosków z nadzoru pedagogicznego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  <w:t xml:space="preserve"> (40% wszystkich ewaluacji w roku szkolnym).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8"/>
        </w:numPr>
        <w:spacing w:before="0" w:after="0" w:line="240"/>
        <w:ind w:right="0" w:left="284" w:hanging="284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w zakresie monitorowania:</w:t>
      </w:r>
    </w:p>
    <w:p>
      <w:pPr>
        <w:spacing w:before="0" w:after="0" w:line="240"/>
        <w:ind w:right="0" w:left="284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50"/>
        </w:numPr>
        <w:spacing w:before="0" w:after="0" w:line="240"/>
        <w:ind w:right="0" w:left="284" w:hanging="284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  <w:t xml:space="preserve">we wszystkich typach szkó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  <w:t xml:space="preserve">ł:</w:t>
      </w:r>
    </w:p>
    <w:p>
      <w:pPr>
        <w:numPr>
          <w:ilvl w:val="0"/>
          <w:numId w:val="50"/>
        </w:numPr>
        <w:spacing w:before="0" w:after="0" w:line="240"/>
        <w:ind w:right="0" w:left="720" w:hanging="360"/>
        <w:jc w:val="both"/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  <w:t xml:space="preserve">„Uwzgl</w:t>
      </w: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  <w:t xml:space="preserve">ędnianie zróżnicowanych potrzeb edukacyjnych uczniów w procesie kształcenia”;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3"/>
        </w:numPr>
        <w:spacing w:before="0" w:after="0" w:line="240"/>
        <w:ind w:right="0" w:left="284" w:hanging="284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  <w:t xml:space="preserve">w m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  <w:t xml:space="preserve">łodzieżowych ośrodkach wychowawczych: </w:t>
      </w:r>
    </w:p>
    <w:p>
      <w:pPr>
        <w:numPr>
          <w:ilvl w:val="0"/>
          <w:numId w:val="53"/>
        </w:numPr>
        <w:spacing w:before="0" w:after="0" w:line="240"/>
        <w:ind w:right="0" w:left="720" w:hanging="360"/>
        <w:jc w:val="both"/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  <w:t xml:space="preserve">„Zapewnienie wychowankom bezpiecze</w:t>
      </w: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  <w:t xml:space="preserve">ństwa i odpowiednich warunków pobytu w placówce”;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6"/>
        </w:numPr>
        <w:spacing w:before="0" w:after="0" w:line="240"/>
        <w:ind w:right="0" w:left="284" w:hanging="284"/>
        <w:jc w:val="left"/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4"/>
          <w:shd w:fill="auto" w:val="clear"/>
        </w:rPr>
        <w:t xml:space="preserve">w 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  <w:t xml:space="preserve">przedszkolach:</w:t>
      </w:r>
    </w:p>
    <w:p>
      <w:pPr>
        <w:numPr>
          <w:ilvl w:val="0"/>
          <w:numId w:val="56"/>
        </w:numPr>
        <w:spacing w:before="0" w:after="0" w:line="240"/>
        <w:ind w:right="0" w:left="720" w:hanging="360"/>
        <w:jc w:val="both"/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  <w:t xml:space="preserve">„Wykorzystywanie technologii informacyjno-komunikacyjnych oraz realizacja zapisów podstawy programowej w zakresie rozwijania kompetencji cyfrowych w przedszkolach”;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9"/>
        </w:numPr>
        <w:spacing w:before="0" w:after="0" w:line="240"/>
        <w:ind w:right="0" w:left="284" w:hanging="284"/>
        <w:jc w:val="left"/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  <w:t xml:space="preserve">w bran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  <w:t xml:space="preserve">żowej szkole II stopnia:</w:t>
      </w:r>
    </w:p>
    <w:p>
      <w:pPr>
        <w:numPr>
          <w:ilvl w:val="0"/>
          <w:numId w:val="59"/>
        </w:numPr>
        <w:spacing w:before="0" w:after="0" w:line="240"/>
        <w:ind w:right="0" w:left="720" w:hanging="360"/>
        <w:jc w:val="both"/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  <w:t xml:space="preserve">„Organizacja kszta</w:t>
      </w: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  <w:t xml:space="preserve">łcenia w branżowej szkole II stopnia”; 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2"/>
        </w:numPr>
        <w:spacing w:before="0" w:after="0" w:line="240"/>
        <w:ind w:right="0" w:left="284" w:hanging="284"/>
        <w:jc w:val="left"/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  <w:t xml:space="preserve">we wszystkich typach szkó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4"/>
          <w:shd w:fill="auto" w:val="clear"/>
        </w:rPr>
        <w:t xml:space="preserve">ł:</w:t>
      </w:r>
    </w:p>
    <w:p>
      <w:pPr>
        <w:numPr>
          <w:ilvl w:val="0"/>
          <w:numId w:val="62"/>
        </w:numPr>
        <w:spacing w:before="0" w:after="0" w:line="240"/>
        <w:ind w:right="0" w:left="720" w:hanging="360"/>
        <w:jc w:val="both"/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  <w:t xml:space="preserve">„Kszta</w:t>
      </w: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4"/>
          <w:shd w:fill="auto" w:val="clear"/>
        </w:rPr>
        <w:t xml:space="preserve">łcenie u uczniów kompetencji kluczowych”. </w:t>
      </w:r>
    </w:p>
    <w:p>
      <w:pPr>
        <w:spacing w:before="0" w:after="0" w:line="240"/>
        <w:ind w:right="707" w:left="0" w:firstLine="0"/>
        <w:jc w:val="right"/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707" w:left="0" w:firstLine="0"/>
        <w:jc w:val="right"/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5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num w:numId="7">
    <w:abstractNumId w:val="114"/>
  </w:num>
  <w:num w:numId="11">
    <w:abstractNumId w:val="108"/>
  </w:num>
  <w:num w:numId="13">
    <w:abstractNumId w:val="102"/>
  </w:num>
  <w:num w:numId="16">
    <w:abstractNumId w:val="96"/>
  </w:num>
  <w:num w:numId="19">
    <w:abstractNumId w:val="90"/>
  </w:num>
  <w:num w:numId="22">
    <w:abstractNumId w:val="84"/>
  </w:num>
  <w:num w:numId="25">
    <w:abstractNumId w:val="78"/>
  </w:num>
  <w:num w:numId="28">
    <w:abstractNumId w:val="72"/>
  </w:num>
  <w:num w:numId="31">
    <w:abstractNumId w:val="66"/>
  </w:num>
  <w:num w:numId="33">
    <w:abstractNumId w:val="60"/>
  </w:num>
  <w:num w:numId="36">
    <w:abstractNumId w:val="54"/>
  </w:num>
  <w:num w:numId="39">
    <w:abstractNumId w:val="48"/>
  </w:num>
  <w:num w:numId="42">
    <w:abstractNumId w:val="42"/>
  </w:num>
  <w:num w:numId="45">
    <w:abstractNumId w:val="36"/>
  </w:num>
  <w:num w:numId="48">
    <w:abstractNumId w:val="30"/>
  </w:num>
  <w:num w:numId="50">
    <w:abstractNumId w:val="24"/>
  </w:num>
  <w:num w:numId="53">
    <w:abstractNumId w:val="18"/>
  </w:num>
  <w:num w:numId="56">
    <w:abstractNumId w:val="12"/>
  </w:num>
  <w:num w:numId="59">
    <w:abstractNumId w:val="6"/>
  </w:num>
  <w:num w:numId="6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